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bookmarkStart w:id="0" w:name="_GoBack"/>
      <w:bookmarkEnd w:id="0"/>
      <w:r w:rsidR="00025F41">
        <w:rPr>
          <w:rFonts w:ascii="Times New Roman" w:hAnsi="Times New Roman" w:cs="Times New Roman"/>
          <w:b/>
          <w:sz w:val="28"/>
          <w:szCs w:val="28"/>
          <w:lang w:val="kk-KZ"/>
        </w:rPr>
        <w:t>1</w:t>
      </w:r>
      <w:r w:rsidR="00F42096">
        <w:rPr>
          <w:rFonts w:ascii="Times New Roman" w:hAnsi="Times New Roman" w:cs="Times New Roman"/>
          <w:b/>
          <w:sz w:val="28"/>
          <w:szCs w:val="28"/>
          <w:lang w:val="kk-KZ"/>
        </w:rPr>
        <w:t>9</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hyperlink r:id="rId5" w:history="1">
        <w:r w:rsidRPr="00994D91">
          <w:rPr>
            <w:rStyle w:val="a7"/>
            <w:rFonts w:ascii="Times New Roman" w:hAnsi="Times New Roman" w:cs="Times New Roman"/>
            <w:sz w:val="28"/>
            <w:szCs w:val="28"/>
            <w:lang w:val="kk-KZ"/>
          </w:rPr>
          <w:t>sar.buhcrb@mail.ru</w:t>
        </w:r>
      </w:hyperlink>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hyperlink r:id="rId6" w:anchor="z162" w:history="1">
        <w:r w:rsidRPr="009E7712">
          <w:rPr>
            <w:rStyle w:val="a7"/>
            <w:rFonts w:ascii="Times New Roman" w:hAnsi="Times New Roman" w:cs="Times New Roman"/>
            <w:sz w:val="28"/>
            <w:szCs w:val="28"/>
            <w:lang w:val="kk-KZ"/>
          </w:rPr>
          <w:t>4-тарауында</w:t>
        </w:r>
      </w:hyperlink>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520731" w:rsidRPr="00520731">
        <w:rPr>
          <w:rFonts w:ascii="Times New Roman" w:hAnsi="Times New Roman" w:cs="Times New Roman"/>
          <w:b/>
          <w:sz w:val="28"/>
          <w:szCs w:val="28"/>
          <w:lang w:val="kk-KZ"/>
        </w:rPr>
        <w:t>2</w:t>
      </w:r>
      <w:r w:rsidR="00F42096">
        <w:rPr>
          <w:rFonts w:ascii="Times New Roman" w:hAnsi="Times New Roman" w:cs="Times New Roman"/>
          <w:b/>
          <w:sz w:val="28"/>
          <w:szCs w:val="28"/>
          <w:lang w:val="kk-KZ"/>
        </w:rPr>
        <w:t>5</w:t>
      </w:r>
      <w:r w:rsidR="00520731" w:rsidRPr="00520731">
        <w:rPr>
          <w:rFonts w:ascii="Times New Roman" w:hAnsi="Times New Roman" w:cs="Times New Roman"/>
          <w:b/>
          <w:sz w:val="28"/>
          <w:szCs w:val="28"/>
          <w:lang w:val="kk-KZ"/>
        </w:rPr>
        <w:t xml:space="preserve"> қыркүйек</w:t>
      </w:r>
      <w:r w:rsidR="00520731">
        <w:rPr>
          <w:rFonts w:ascii="Times New Roman" w:hAnsi="Times New Roman" w:cs="Times New Roman"/>
          <w:b/>
          <w:sz w:val="28"/>
          <w:szCs w:val="28"/>
          <w:lang w:val="kk-KZ"/>
        </w:rPr>
        <w:t>ке</w:t>
      </w:r>
      <w:r w:rsidR="00601DA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520731" w:rsidRPr="00520731">
        <w:rPr>
          <w:rFonts w:ascii="Times New Roman" w:hAnsi="Times New Roman" w:cs="Times New Roman"/>
          <w:b/>
          <w:sz w:val="28"/>
          <w:szCs w:val="28"/>
          <w:lang w:val="kk-KZ"/>
        </w:rPr>
        <w:t>2</w:t>
      </w:r>
      <w:r w:rsidR="00F42096">
        <w:rPr>
          <w:rFonts w:ascii="Times New Roman" w:hAnsi="Times New Roman" w:cs="Times New Roman"/>
          <w:b/>
          <w:sz w:val="28"/>
          <w:szCs w:val="28"/>
          <w:lang w:val="kk-KZ"/>
        </w:rPr>
        <w:t>5</w:t>
      </w:r>
      <w:r w:rsidR="00520731" w:rsidRPr="00520731">
        <w:rPr>
          <w:rFonts w:ascii="Times New Roman" w:hAnsi="Times New Roman" w:cs="Times New Roman"/>
          <w:b/>
          <w:sz w:val="28"/>
          <w:szCs w:val="28"/>
          <w:lang w:val="kk-KZ"/>
        </w:rPr>
        <w:t xml:space="preserve"> қыркүйек</w:t>
      </w:r>
      <w:r w:rsidR="00520731">
        <w:rPr>
          <w:rFonts w:ascii="Times New Roman" w:hAnsi="Times New Roman" w:cs="Times New Roman"/>
          <w:b/>
          <w:sz w:val="28"/>
          <w:szCs w:val="28"/>
          <w:lang w:val="kk-KZ"/>
        </w:rPr>
        <w:t>ке</w:t>
      </w:r>
      <w:r w:rsidR="000804BB">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rPr>
        <w:t xml:space="preserve">Жеткізуорны: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0804BB" w:rsidRDefault="00994D91" w:rsidP="000804BB">
      <w:pPr>
        <w:spacing w:after="0"/>
        <w:ind w:firstLine="400"/>
        <w:jc w:val="right"/>
        <w:rPr>
          <w:rFonts w:ascii="Times New Roman" w:hAnsi="Times New Roman" w:cs="Times New Roman"/>
          <w:sz w:val="24"/>
          <w:szCs w:val="24"/>
        </w:rPr>
      </w:pPr>
      <w:r w:rsidRPr="00994D91">
        <w:rPr>
          <w:sz w:val="28"/>
          <w:szCs w:val="28"/>
          <w:lang w:val="kk-KZ"/>
        </w:rPr>
        <w:lastRenderedPageBreak/>
        <w:t xml:space="preserve">Қосымша </w:t>
      </w:r>
      <w:r>
        <w:rPr>
          <w:sz w:val="28"/>
          <w:szCs w:val="28"/>
          <w:lang w:val="kk-KZ"/>
        </w:rPr>
        <w:t>1</w:t>
      </w:r>
    </w:p>
    <w:p w:rsidR="000804BB" w:rsidRDefault="000804BB" w:rsidP="000804BB">
      <w:pPr>
        <w:spacing w:after="0"/>
        <w:ind w:firstLine="400"/>
        <w:jc w:val="right"/>
        <w:rPr>
          <w:rFonts w:ascii="Times New Roman" w:hAnsi="Times New Roman" w:cs="Times New Roman"/>
          <w:sz w:val="24"/>
          <w:szCs w:val="24"/>
        </w:rPr>
      </w:pPr>
    </w:p>
    <w:tbl>
      <w:tblPr>
        <w:tblW w:w="10490" w:type="dxa"/>
        <w:tblInd w:w="-743" w:type="dxa"/>
        <w:tblLayout w:type="fixed"/>
        <w:tblLook w:val="04A0"/>
      </w:tblPr>
      <w:tblGrid>
        <w:gridCol w:w="709"/>
        <w:gridCol w:w="2835"/>
        <w:gridCol w:w="3402"/>
        <w:gridCol w:w="1134"/>
        <w:gridCol w:w="992"/>
        <w:gridCol w:w="1418"/>
      </w:tblGrid>
      <w:tr w:rsidR="00C9408A" w:rsidRPr="00736AB6" w:rsidTr="00C9408A">
        <w:trPr>
          <w:trHeight w:val="342"/>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 лота</w:t>
            </w:r>
          </w:p>
        </w:tc>
        <w:tc>
          <w:tcPr>
            <w:tcW w:w="2835"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Торговое наименование</w:t>
            </w:r>
          </w:p>
        </w:tc>
        <w:tc>
          <w:tcPr>
            <w:tcW w:w="3402"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Лекарственная форма (характеристика)</w:t>
            </w:r>
          </w:p>
        </w:tc>
        <w:tc>
          <w:tcPr>
            <w:tcW w:w="1134"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Ед. измерения</w:t>
            </w:r>
          </w:p>
        </w:tc>
        <w:tc>
          <w:tcPr>
            <w:tcW w:w="992" w:type="dxa"/>
            <w:tcBorders>
              <w:top w:val="single" w:sz="4" w:space="0" w:color="auto"/>
              <w:left w:val="nil"/>
              <w:bottom w:val="single" w:sz="4" w:space="0" w:color="auto"/>
              <w:right w:val="single" w:sz="4" w:space="0" w:color="auto"/>
            </w:tcBorders>
            <w:shd w:val="clear" w:color="000000" w:fill="FFFFFF"/>
            <w:noWrap/>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Кол-во</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цена</w:t>
            </w:r>
          </w:p>
        </w:tc>
      </w:tr>
      <w:tr w:rsidR="00F42096" w:rsidRPr="006226D9"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F42096" w:rsidRDefault="00F42096">
            <w:pPr>
              <w:spacing w:after="0"/>
              <w:ind w:left="49"/>
              <w:rPr>
                <w:rFonts w:ascii="Times New Roman" w:hAnsi="Times New Roman" w:cs="Times New Roman"/>
                <w:sz w:val="20"/>
                <w:szCs w:val="20"/>
                <w:lang w:eastAsia="en-US"/>
              </w:rPr>
            </w:pPr>
            <w:r>
              <w:rPr>
                <w:rFonts w:ascii="Times New Roman" w:hAnsi="Times New Roman" w:cs="Times New Roman"/>
                <w:sz w:val="20"/>
                <w:szCs w:val="20"/>
              </w:rPr>
              <w:t>1</w:t>
            </w:r>
          </w:p>
        </w:tc>
        <w:tc>
          <w:tcPr>
            <w:tcW w:w="2835"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r>
              <w:rPr>
                <w:b w:val="0"/>
                <w:sz w:val="20"/>
                <w:szCs w:val="20"/>
              </w:rPr>
              <w:t>Система для инфузий, одноразовая</w:t>
            </w:r>
          </w:p>
        </w:tc>
        <w:tc>
          <w:tcPr>
            <w:tcW w:w="3402"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p>
        </w:tc>
        <w:tc>
          <w:tcPr>
            <w:tcW w:w="1134"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r>
              <w:rPr>
                <w:b w:val="0"/>
                <w:sz w:val="20"/>
                <w:szCs w:val="20"/>
              </w:rPr>
              <w:t>Шт</w:t>
            </w:r>
          </w:p>
        </w:tc>
        <w:tc>
          <w:tcPr>
            <w:tcW w:w="992" w:type="dxa"/>
            <w:tcBorders>
              <w:top w:val="single" w:sz="4" w:space="0" w:color="auto"/>
              <w:left w:val="nil"/>
              <w:bottom w:val="single" w:sz="4" w:space="0" w:color="auto"/>
              <w:right w:val="single" w:sz="4" w:space="0" w:color="auto"/>
            </w:tcBorders>
            <w:shd w:val="clear" w:color="000000" w:fill="FFFFFF"/>
            <w:noWrap/>
          </w:tcPr>
          <w:p w:rsidR="00F42096" w:rsidRDefault="00F42096">
            <w:pPr>
              <w:pStyle w:val="a3"/>
              <w:spacing w:line="276" w:lineRule="auto"/>
              <w:rPr>
                <w:b w:val="0"/>
                <w:sz w:val="20"/>
                <w:szCs w:val="20"/>
              </w:rPr>
            </w:pPr>
            <w:r>
              <w:rPr>
                <w:b w:val="0"/>
                <w:sz w:val="20"/>
                <w:szCs w:val="20"/>
              </w:rPr>
              <w:t>8000</w:t>
            </w:r>
          </w:p>
        </w:tc>
        <w:tc>
          <w:tcPr>
            <w:tcW w:w="1418" w:type="dxa"/>
            <w:tcBorders>
              <w:top w:val="single" w:sz="4" w:space="0" w:color="auto"/>
              <w:left w:val="nil"/>
              <w:bottom w:val="single" w:sz="4" w:space="0" w:color="auto"/>
              <w:right w:val="single" w:sz="4" w:space="0" w:color="auto"/>
            </w:tcBorders>
            <w:shd w:val="clear" w:color="000000" w:fill="FFFFFF"/>
            <w:noWrap/>
          </w:tcPr>
          <w:p w:rsidR="00F42096" w:rsidRDefault="00F42096">
            <w:pPr>
              <w:pStyle w:val="a3"/>
              <w:spacing w:line="276" w:lineRule="auto"/>
              <w:rPr>
                <w:b w:val="0"/>
                <w:sz w:val="20"/>
                <w:szCs w:val="20"/>
              </w:rPr>
            </w:pPr>
            <w:r>
              <w:rPr>
                <w:b w:val="0"/>
                <w:sz w:val="20"/>
                <w:szCs w:val="20"/>
              </w:rPr>
              <w:t>60,00</w:t>
            </w:r>
          </w:p>
        </w:tc>
      </w:tr>
      <w:tr w:rsidR="00F42096"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F42096" w:rsidRDefault="00F42096">
            <w:pPr>
              <w:spacing w:after="0"/>
              <w:ind w:left="49"/>
              <w:rPr>
                <w:rFonts w:ascii="Times New Roman" w:hAnsi="Times New Roman" w:cs="Times New Roman"/>
                <w:sz w:val="20"/>
                <w:szCs w:val="20"/>
                <w:lang w:eastAsia="en-US"/>
              </w:rPr>
            </w:pPr>
            <w:r>
              <w:rPr>
                <w:rFonts w:ascii="Times New Roman" w:hAnsi="Times New Roman" w:cs="Times New Roman"/>
                <w:sz w:val="20"/>
                <w:szCs w:val="20"/>
              </w:rPr>
              <w:t>2</w:t>
            </w:r>
          </w:p>
        </w:tc>
        <w:tc>
          <w:tcPr>
            <w:tcW w:w="2835"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r>
              <w:rPr>
                <w:b w:val="0"/>
                <w:sz w:val="20"/>
                <w:szCs w:val="20"/>
              </w:rPr>
              <w:t>Вата не стерильная, 100 гр</w:t>
            </w:r>
          </w:p>
        </w:tc>
        <w:tc>
          <w:tcPr>
            <w:tcW w:w="3402"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p>
        </w:tc>
        <w:tc>
          <w:tcPr>
            <w:tcW w:w="1134"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r>
              <w:rPr>
                <w:b w:val="0"/>
                <w:sz w:val="20"/>
                <w:szCs w:val="20"/>
              </w:rPr>
              <w:t>Шт</w:t>
            </w:r>
          </w:p>
        </w:tc>
        <w:tc>
          <w:tcPr>
            <w:tcW w:w="992" w:type="dxa"/>
            <w:tcBorders>
              <w:top w:val="single" w:sz="4" w:space="0" w:color="auto"/>
              <w:left w:val="nil"/>
              <w:bottom w:val="single" w:sz="4" w:space="0" w:color="auto"/>
              <w:right w:val="single" w:sz="4" w:space="0" w:color="auto"/>
            </w:tcBorders>
            <w:shd w:val="clear" w:color="000000" w:fill="FFFFFF"/>
            <w:noWrap/>
          </w:tcPr>
          <w:p w:rsidR="00F42096" w:rsidRDefault="00F42096">
            <w:pPr>
              <w:pStyle w:val="a3"/>
              <w:spacing w:line="276" w:lineRule="auto"/>
              <w:rPr>
                <w:b w:val="0"/>
                <w:sz w:val="20"/>
                <w:szCs w:val="20"/>
              </w:rPr>
            </w:pPr>
            <w:r>
              <w:rPr>
                <w:b w:val="0"/>
                <w:sz w:val="20"/>
                <w:szCs w:val="20"/>
              </w:rPr>
              <w:t>500</w:t>
            </w:r>
          </w:p>
        </w:tc>
        <w:tc>
          <w:tcPr>
            <w:tcW w:w="1418" w:type="dxa"/>
            <w:tcBorders>
              <w:top w:val="single" w:sz="4" w:space="0" w:color="auto"/>
              <w:left w:val="nil"/>
              <w:bottom w:val="single" w:sz="4" w:space="0" w:color="auto"/>
              <w:right w:val="single" w:sz="4" w:space="0" w:color="auto"/>
            </w:tcBorders>
            <w:shd w:val="clear" w:color="000000" w:fill="FFFFFF"/>
            <w:noWrap/>
          </w:tcPr>
          <w:p w:rsidR="00F42096" w:rsidRDefault="00F42096">
            <w:pPr>
              <w:pStyle w:val="a3"/>
              <w:spacing w:line="276" w:lineRule="auto"/>
              <w:rPr>
                <w:b w:val="0"/>
                <w:sz w:val="20"/>
                <w:szCs w:val="20"/>
              </w:rPr>
            </w:pPr>
            <w:r>
              <w:rPr>
                <w:b w:val="0"/>
                <w:sz w:val="20"/>
                <w:szCs w:val="20"/>
              </w:rPr>
              <w:t>185,00</w:t>
            </w:r>
          </w:p>
        </w:tc>
      </w:tr>
      <w:tr w:rsidR="00F42096"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F42096" w:rsidRDefault="00F42096">
            <w:pPr>
              <w:spacing w:after="0"/>
              <w:ind w:left="49"/>
              <w:rPr>
                <w:rFonts w:ascii="Times New Roman" w:hAnsi="Times New Roman" w:cs="Times New Roman"/>
                <w:sz w:val="20"/>
                <w:szCs w:val="20"/>
                <w:lang w:eastAsia="en-US"/>
              </w:rPr>
            </w:pPr>
            <w:r>
              <w:rPr>
                <w:rFonts w:ascii="Times New Roman" w:hAnsi="Times New Roman" w:cs="Times New Roman"/>
                <w:sz w:val="20"/>
                <w:szCs w:val="20"/>
              </w:rPr>
              <w:t>3</w:t>
            </w:r>
          </w:p>
        </w:tc>
        <w:tc>
          <w:tcPr>
            <w:tcW w:w="2835"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r>
              <w:rPr>
                <w:b w:val="0"/>
                <w:sz w:val="20"/>
                <w:szCs w:val="20"/>
              </w:rPr>
              <w:t>Вата стерильная, 500 гр</w:t>
            </w:r>
          </w:p>
        </w:tc>
        <w:tc>
          <w:tcPr>
            <w:tcW w:w="3402"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p>
        </w:tc>
        <w:tc>
          <w:tcPr>
            <w:tcW w:w="1134"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r>
              <w:rPr>
                <w:b w:val="0"/>
                <w:sz w:val="20"/>
                <w:szCs w:val="20"/>
              </w:rPr>
              <w:t>Шт</w:t>
            </w:r>
          </w:p>
        </w:tc>
        <w:tc>
          <w:tcPr>
            <w:tcW w:w="992" w:type="dxa"/>
            <w:tcBorders>
              <w:top w:val="single" w:sz="4" w:space="0" w:color="auto"/>
              <w:left w:val="nil"/>
              <w:bottom w:val="single" w:sz="4" w:space="0" w:color="auto"/>
              <w:right w:val="single" w:sz="4" w:space="0" w:color="auto"/>
            </w:tcBorders>
            <w:shd w:val="clear" w:color="000000" w:fill="FFFFFF"/>
            <w:noWrap/>
          </w:tcPr>
          <w:p w:rsidR="00F42096" w:rsidRDefault="00F42096">
            <w:pPr>
              <w:pStyle w:val="a3"/>
              <w:spacing w:line="276" w:lineRule="auto"/>
              <w:rPr>
                <w:b w:val="0"/>
                <w:sz w:val="20"/>
                <w:szCs w:val="20"/>
              </w:rPr>
            </w:pPr>
            <w:r>
              <w:rPr>
                <w:b w:val="0"/>
                <w:sz w:val="20"/>
                <w:szCs w:val="20"/>
              </w:rPr>
              <w:t>500</w:t>
            </w:r>
          </w:p>
        </w:tc>
        <w:tc>
          <w:tcPr>
            <w:tcW w:w="1418" w:type="dxa"/>
            <w:tcBorders>
              <w:top w:val="single" w:sz="4" w:space="0" w:color="auto"/>
              <w:left w:val="nil"/>
              <w:bottom w:val="single" w:sz="4" w:space="0" w:color="auto"/>
              <w:right w:val="single" w:sz="4" w:space="0" w:color="auto"/>
            </w:tcBorders>
            <w:shd w:val="clear" w:color="000000" w:fill="FFFFFF"/>
            <w:noWrap/>
          </w:tcPr>
          <w:p w:rsidR="00F42096" w:rsidRDefault="00F42096">
            <w:pPr>
              <w:pStyle w:val="a3"/>
              <w:spacing w:line="276" w:lineRule="auto"/>
              <w:rPr>
                <w:b w:val="0"/>
                <w:sz w:val="20"/>
                <w:szCs w:val="20"/>
              </w:rPr>
            </w:pPr>
            <w:r>
              <w:rPr>
                <w:b w:val="0"/>
                <w:sz w:val="20"/>
                <w:szCs w:val="20"/>
              </w:rPr>
              <w:t>195,00</w:t>
            </w:r>
          </w:p>
        </w:tc>
      </w:tr>
      <w:tr w:rsidR="00F42096"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F42096" w:rsidRDefault="00F42096">
            <w:pPr>
              <w:spacing w:after="0"/>
              <w:ind w:left="49"/>
              <w:rPr>
                <w:rFonts w:ascii="Times New Roman" w:hAnsi="Times New Roman" w:cs="Times New Roman"/>
                <w:sz w:val="20"/>
                <w:szCs w:val="20"/>
                <w:lang w:eastAsia="en-US"/>
              </w:rPr>
            </w:pPr>
            <w:r>
              <w:rPr>
                <w:rFonts w:ascii="Times New Roman" w:hAnsi="Times New Roman" w:cs="Times New Roman"/>
                <w:sz w:val="20"/>
                <w:szCs w:val="20"/>
              </w:rPr>
              <w:t>4</w:t>
            </w:r>
          </w:p>
        </w:tc>
        <w:tc>
          <w:tcPr>
            <w:tcW w:w="2835"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r>
              <w:rPr>
                <w:b w:val="0"/>
                <w:sz w:val="20"/>
                <w:szCs w:val="20"/>
              </w:rPr>
              <w:t>Катетер Фолея баллонный силиконизировый 2-х ходовой</w:t>
            </w:r>
          </w:p>
        </w:tc>
        <w:tc>
          <w:tcPr>
            <w:tcW w:w="3402"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r>
              <w:rPr>
                <w:b w:val="0"/>
                <w:sz w:val="20"/>
                <w:szCs w:val="20"/>
              </w:rPr>
              <w:t xml:space="preserve">Стандарт, длина 395 мм, размер 20 </w:t>
            </w:r>
            <w:r>
              <w:rPr>
                <w:b w:val="0"/>
                <w:sz w:val="20"/>
                <w:szCs w:val="20"/>
                <w:lang w:val="en-US"/>
              </w:rPr>
              <w:t>FR</w:t>
            </w:r>
            <w:r>
              <w:rPr>
                <w:b w:val="0"/>
                <w:sz w:val="20"/>
                <w:szCs w:val="20"/>
              </w:rPr>
              <w:t>, объем баллона 30-50 мл</w:t>
            </w:r>
          </w:p>
        </w:tc>
        <w:tc>
          <w:tcPr>
            <w:tcW w:w="1134"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r>
              <w:rPr>
                <w:b w:val="0"/>
                <w:sz w:val="20"/>
                <w:szCs w:val="20"/>
              </w:rPr>
              <w:t>Шт</w:t>
            </w:r>
          </w:p>
        </w:tc>
        <w:tc>
          <w:tcPr>
            <w:tcW w:w="992" w:type="dxa"/>
            <w:tcBorders>
              <w:top w:val="single" w:sz="4" w:space="0" w:color="auto"/>
              <w:left w:val="nil"/>
              <w:bottom w:val="single" w:sz="4" w:space="0" w:color="auto"/>
              <w:right w:val="single" w:sz="4" w:space="0" w:color="auto"/>
            </w:tcBorders>
            <w:shd w:val="clear" w:color="000000" w:fill="FFFFFF"/>
            <w:noWrap/>
          </w:tcPr>
          <w:p w:rsidR="00F42096" w:rsidRDefault="00F42096">
            <w:pPr>
              <w:pStyle w:val="a3"/>
              <w:spacing w:line="276" w:lineRule="auto"/>
              <w:rPr>
                <w:b w:val="0"/>
                <w:sz w:val="20"/>
                <w:szCs w:val="20"/>
              </w:rPr>
            </w:pPr>
            <w:r>
              <w:rPr>
                <w:b w:val="0"/>
                <w:sz w:val="20"/>
                <w:szCs w:val="20"/>
              </w:rPr>
              <w:t>100</w:t>
            </w:r>
          </w:p>
        </w:tc>
        <w:tc>
          <w:tcPr>
            <w:tcW w:w="1418" w:type="dxa"/>
            <w:tcBorders>
              <w:top w:val="single" w:sz="4" w:space="0" w:color="auto"/>
              <w:left w:val="nil"/>
              <w:bottom w:val="single" w:sz="4" w:space="0" w:color="auto"/>
              <w:right w:val="single" w:sz="4" w:space="0" w:color="auto"/>
            </w:tcBorders>
            <w:shd w:val="clear" w:color="000000" w:fill="FFFFFF"/>
            <w:noWrap/>
          </w:tcPr>
          <w:p w:rsidR="00F42096" w:rsidRDefault="00F42096">
            <w:pPr>
              <w:pStyle w:val="a3"/>
              <w:spacing w:line="276" w:lineRule="auto"/>
              <w:rPr>
                <w:b w:val="0"/>
                <w:sz w:val="20"/>
                <w:szCs w:val="20"/>
              </w:rPr>
            </w:pPr>
            <w:r>
              <w:rPr>
                <w:b w:val="0"/>
                <w:sz w:val="20"/>
                <w:szCs w:val="20"/>
              </w:rPr>
              <w:t>342,00</w:t>
            </w:r>
          </w:p>
        </w:tc>
      </w:tr>
      <w:tr w:rsidR="00F42096"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F42096" w:rsidRDefault="00F42096">
            <w:pPr>
              <w:spacing w:after="0"/>
              <w:ind w:left="49"/>
              <w:rPr>
                <w:rFonts w:ascii="Times New Roman" w:hAnsi="Times New Roman" w:cs="Times New Roman"/>
                <w:sz w:val="20"/>
                <w:szCs w:val="20"/>
                <w:lang w:eastAsia="en-US"/>
              </w:rPr>
            </w:pPr>
            <w:r>
              <w:rPr>
                <w:rFonts w:ascii="Times New Roman" w:hAnsi="Times New Roman" w:cs="Times New Roman"/>
                <w:sz w:val="20"/>
                <w:szCs w:val="20"/>
              </w:rPr>
              <w:t>5</w:t>
            </w:r>
          </w:p>
        </w:tc>
        <w:tc>
          <w:tcPr>
            <w:tcW w:w="2835"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r>
              <w:rPr>
                <w:b w:val="0"/>
                <w:sz w:val="20"/>
                <w:szCs w:val="20"/>
              </w:rPr>
              <w:t>Катетер Фолея баллонный силиконизировый 2-х ходовой</w:t>
            </w:r>
          </w:p>
        </w:tc>
        <w:tc>
          <w:tcPr>
            <w:tcW w:w="3402"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r>
              <w:rPr>
                <w:b w:val="0"/>
                <w:sz w:val="20"/>
                <w:szCs w:val="20"/>
              </w:rPr>
              <w:t xml:space="preserve">Стандарт, длина 395 мм, размер 22 </w:t>
            </w:r>
            <w:r>
              <w:rPr>
                <w:b w:val="0"/>
                <w:sz w:val="20"/>
                <w:szCs w:val="20"/>
                <w:lang w:val="en-US"/>
              </w:rPr>
              <w:t>FR</w:t>
            </w:r>
            <w:r>
              <w:rPr>
                <w:b w:val="0"/>
                <w:sz w:val="20"/>
                <w:szCs w:val="20"/>
              </w:rPr>
              <w:t>, объем баллона 30-50 мл</w:t>
            </w:r>
          </w:p>
        </w:tc>
        <w:tc>
          <w:tcPr>
            <w:tcW w:w="1134" w:type="dxa"/>
            <w:tcBorders>
              <w:top w:val="single" w:sz="4" w:space="0" w:color="auto"/>
              <w:left w:val="nil"/>
              <w:bottom w:val="single" w:sz="4" w:space="0" w:color="auto"/>
              <w:right w:val="single" w:sz="4" w:space="0" w:color="auto"/>
            </w:tcBorders>
            <w:shd w:val="clear" w:color="000000" w:fill="FFFFFF"/>
          </w:tcPr>
          <w:p w:rsidR="00F42096" w:rsidRDefault="00F42096">
            <w:pPr>
              <w:pStyle w:val="a3"/>
              <w:spacing w:line="276" w:lineRule="auto"/>
              <w:rPr>
                <w:b w:val="0"/>
                <w:sz w:val="20"/>
                <w:szCs w:val="20"/>
              </w:rPr>
            </w:pPr>
            <w:r>
              <w:rPr>
                <w:b w:val="0"/>
                <w:sz w:val="20"/>
                <w:szCs w:val="20"/>
              </w:rPr>
              <w:t>Шт</w:t>
            </w:r>
          </w:p>
        </w:tc>
        <w:tc>
          <w:tcPr>
            <w:tcW w:w="992" w:type="dxa"/>
            <w:tcBorders>
              <w:top w:val="single" w:sz="4" w:space="0" w:color="auto"/>
              <w:left w:val="nil"/>
              <w:bottom w:val="single" w:sz="4" w:space="0" w:color="auto"/>
              <w:right w:val="single" w:sz="4" w:space="0" w:color="auto"/>
            </w:tcBorders>
            <w:shd w:val="clear" w:color="000000" w:fill="FFFFFF"/>
            <w:noWrap/>
          </w:tcPr>
          <w:p w:rsidR="00F42096" w:rsidRDefault="00F42096">
            <w:pPr>
              <w:pStyle w:val="a3"/>
              <w:spacing w:line="276" w:lineRule="auto"/>
              <w:rPr>
                <w:b w:val="0"/>
                <w:sz w:val="20"/>
                <w:szCs w:val="20"/>
              </w:rPr>
            </w:pPr>
            <w:r>
              <w:rPr>
                <w:b w:val="0"/>
                <w:sz w:val="20"/>
                <w:szCs w:val="20"/>
              </w:rPr>
              <w:t>100</w:t>
            </w:r>
          </w:p>
        </w:tc>
        <w:tc>
          <w:tcPr>
            <w:tcW w:w="1418" w:type="dxa"/>
            <w:tcBorders>
              <w:top w:val="single" w:sz="4" w:space="0" w:color="auto"/>
              <w:left w:val="nil"/>
              <w:bottom w:val="single" w:sz="4" w:space="0" w:color="auto"/>
              <w:right w:val="single" w:sz="4" w:space="0" w:color="auto"/>
            </w:tcBorders>
            <w:shd w:val="clear" w:color="000000" w:fill="FFFFFF"/>
            <w:noWrap/>
          </w:tcPr>
          <w:p w:rsidR="00F42096" w:rsidRDefault="00F42096">
            <w:pPr>
              <w:pStyle w:val="a3"/>
              <w:spacing w:line="276" w:lineRule="auto"/>
              <w:rPr>
                <w:b w:val="0"/>
                <w:sz w:val="20"/>
                <w:szCs w:val="20"/>
              </w:rPr>
            </w:pPr>
            <w:r>
              <w:rPr>
                <w:b w:val="0"/>
                <w:sz w:val="20"/>
                <w:szCs w:val="20"/>
              </w:rPr>
              <w:t>342,00</w:t>
            </w:r>
          </w:p>
        </w:tc>
      </w:tr>
    </w:tbl>
    <w:p w:rsidR="0040778C" w:rsidRDefault="0040778C" w:rsidP="00994D91">
      <w:pPr>
        <w:pStyle w:val="a3"/>
        <w:tabs>
          <w:tab w:val="left" w:pos="4962"/>
          <w:tab w:val="left" w:pos="6960"/>
        </w:tabs>
        <w:jc w:val="right"/>
        <w:rPr>
          <w:b w:val="0"/>
          <w:sz w:val="28"/>
          <w:szCs w:val="28"/>
          <w:lang w:val="kk-KZ"/>
        </w:rPr>
      </w:pPr>
    </w:p>
    <w:sectPr w:rsidR="0040778C" w:rsidSect="00994D9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0778C"/>
    <w:rsid w:val="00025F41"/>
    <w:rsid w:val="00045526"/>
    <w:rsid w:val="000804BB"/>
    <w:rsid w:val="000B5D9D"/>
    <w:rsid w:val="00116E71"/>
    <w:rsid w:val="00134A3A"/>
    <w:rsid w:val="00175C06"/>
    <w:rsid w:val="002B2D6A"/>
    <w:rsid w:val="002B77B8"/>
    <w:rsid w:val="00306CAD"/>
    <w:rsid w:val="00335189"/>
    <w:rsid w:val="00362139"/>
    <w:rsid w:val="0040778C"/>
    <w:rsid w:val="004138CA"/>
    <w:rsid w:val="00472967"/>
    <w:rsid w:val="004D5A3A"/>
    <w:rsid w:val="00520731"/>
    <w:rsid w:val="005C7098"/>
    <w:rsid w:val="00601DA3"/>
    <w:rsid w:val="008F2F30"/>
    <w:rsid w:val="00974B99"/>
    <w:rsid w:val="00994D91"/>
    <w:rsid w:val="009C3EE5"/>
    <w:rsid w:val="009D408E"/>
    <w:rsid w:val="00BA46A0"/>
    <w:rsid w:val="00C9408A"/>
    <w:rsid w:val="00D460A1"/>
    <w:rsid w:val="00D55F76"/>
    <w:rsid w:val="00D66037"/>
    <w:rsid w:val="00E74172"/>
    <w:rsid w:val="00ED3F33"/>
    <w:rsid w:val="00F42096"/>
    <w:rsid w:val="00F669E9"/>
    <w:rsid w:val="00FC46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 w:type="character" w:customStyle="1" w:styleId="a8">
    <w:name w:val="Без интервала Знак"/>
    <w:link w:val="a9"/>
    <w:uiPriority w:val="1"/>
    <w:locked/>
    <w:rsid w:val="000804BB"/>
    <w:rPr>
      <w:rFonts w:ascii="Times New Roman" w:eastAsia="Times New Roman" w:hAnsi="Times New Roman" w:cs="Times New Roman"/>
      <w:sz w:val="24"/>
      <w:szCs w:val="24"/>
    </w:rPr>
  </w:style>
  <w:style w:type="paragraph" w:styleId="a9">
    <w:name w:val="No Spacing"/>
    <w:link w:val="a8"/>
    <w:uiPriority w:val="1"/>
    <w:qFormat/>
    <w:rsid w:val="000804BB"/>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125059">
      <w:bodyDiv w:val="1"/>
      <w:marLeft w:val="0"/>
      <w:marRight w:val="0"/>
      <w:marTop w:val="0"/>
      <w:marBottom w:val="0"/>
      <w:divBdr>
        <w:top w:val="none" w:sz="0" w:space="0" w:color="auto"/>
        <w:left w:val="none" w:sz="0" w:space="0" w:color="auto"/>
        <w:bottom w:val="none" w:sz="0" w:space="0" w:color="auto"/>
        <w:right w:val="none" w:sz="0" w:space="0" w:color="auto"/>
      </w:divBdr>
    </w:div>
    <w:div w:id="680814453">
      <w:bodyDiv w:val="1"/>
      <w:marLeft w:val="0"/>
      <w:marRight w:val="0"/>
      <w:marTop w:val="0"/>
      <w:marBottom w:val="0"/>
      <w:divBdr>
        <w:top w:val="none" w:sz="0" w:space="0" w:color="auto"/>
        <w:left w:val="none" w:sz="0" w:space="0" w:color="auto"/>
        <w:bottom w:val="none" w:sz="0" w:space="0" w:color="auto"/>
        <w:right w:val="none" w:sz="0" w:space="0" w:color="auto"/>
      </w:divBdr>
    </w:div>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 w:id="166416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P1600000908" TargetMode="External"/><Relationship Id="rId5" Type="http://schemas.openxmlformats.org/officeDocument/2006/relationships/hyperlink" Target="mailto:sar.buhcrb@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Пользователь</cp:lastModifiedBy>
  <cp:revision>2</cp:revision>
  <dcterms:created xsi:type="dcterms:W3CDTF">2020-09-17T03:49:00Z</dcterms:created>
  <dcterms:modified xsi:type="dcterms:W3CDTF">2020-09-17T03:49:00Z</dcterms:modified>
</cp:coreProperties>
</file>